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C" w:rsidRDefault="00E22BBC" w:rsidP="00E22B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20 июня 2013 г. N АП-1073/02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РАЗРАБОТКЕ ПОКАЗАТЕЛЕЙ ЭФФЕКТИВНОСТИ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рамках реализации </w:t>
      </w:r>
      <w:hyperlink r:id="rId4" w:history="1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2013 - 2018 годы, в соответствии с приказом Минтруда России от 13 мая 2013 г. N 202 "О проведении </w:t>
      </w:r>
      <w:proofErr w:type="spellStart"/>
      <w:r>
        <w:t>пилотного</w:t>
      </w:r>
      <w:proofErr w:type="spellEnd"/>
      <w:r>
        <w:t xml:space="preserve">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</w:t>
      </w:r>
      <w:proofErr w:type="gramEnd"/>
      <w:r>
        <w:t xml:space="preserve"> (муниципальных) учреждений" </w:t>
      </w:r>
      <w:proofErr w:type="spellStart"/>
      <w:r>
        <w:t>Минобрнауки</w:t>
      </w:r>
      <w:proofErr w:type="spellEnd"/>
      <w:r>
        <w:t xml:space="preserve"> России подготовлены Методические </w:t>
      </w:r>
      <w:hyperlink w:anchor="Par27" w:history="1">
        <w:r>
          <w:rPr>
            <w:color w:val="0000FF"/>
          </w:rPr>
          <w:t>рекомендации</w:t>
        </w:r>
      </w:hyperlink>
      <w: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рекомендации, показатели эффективности соответственно).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основе Методических </w:t>
      </w:r>
      <w:hyperlink w:anchor="Par27" w:history="1">
        <w:r>
          <w:rPr>
            <w:color w:val="0000FF"/>
          </w:rPr>
          <w:t>рекомендаций</w:t>
        </w:r>
      </w:hyperlink>
      <w:r>
        <w:t xml:space="preserve"> органам государственной власти субъектов Российской Федерации и органам местного самоуправления (при участии организаций, осуществляющих функции государственно-общественного управления, профсоюзных организаций и трудовых коллективов) необходимо разработать и утвердить локальными нормативными актами соответствующие показатели эффективности в срок до 26 июня 2013 года.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Федерации, органов местного самоуправления, государственных (муниципальных) учреждений в сфере образования.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А.Б.ПОВАЛКО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8"/>
      <w:bookmarkEnd w:id="0"/>
      <w:r>
        <w:t>Приложение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Утверждаю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Заместитель Министра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образования и науки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А.Б.ПОВАЛКО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right"/>
      </w:pPr>
      <w:r>
        <w:t>18 июня 2013 г.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МЕТОДИЧЕСКИЕ РЕКОМЕНДАЦИИ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МИНОБРНАУКИ РОССИИ ПО РАЗРАБОТКЕ ОРГАНАМИ ГОСУДАРСТВЕННОЙ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ВЛАСТИ СУБЪЕКТОВ РОССИЙСКОЙ ФЕДЕРАЦИИ И ОРГАНАМИ МЕСТНОГО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САМОУПРАВЛЕНИЯ ПОКАЗАТЕЛЕЙ ЭФФЕКТИВНОСТИ ДЕЯТЕЛЬНОСТИ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(МУНИЦИПАЛЬНЫХ) УЧРЕЖДЕНИЙ В СФЕРЕ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ОБРАЗОВАНИЯ, ИХ РУКОВОДИТЕЛЕЙ И ОТДЕЛЬНЫХ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КАТЕГОРИЙ РАБОТНИКОВ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23</w:t>
        </w:r>
      </w:hyperlink>
      <w:r>
        <w:t xml:space="preserve"> приложения N 2 к Программе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 ноября 2012 г. N 2190-р, а также на основании приказа Минтруда России от 13 мая 2013 г. N 202 "О проведении </w:t>
      </w:r>
      <w:proofErr w:type="spellStart"/>
      <w:r>
        <w:t>пилотного</w:t>
      </w:r>
      <w:proofErr w:type="spellEnd"/>
      <w:r>
        <w:t xml:space="preserve"> внедрения мероприятий по обеспечению взаимодействия федеральных органов исполнительной власти и</w:t>
      </w:r>
      <w:proofErr w:type="gramEnd"/>
      <w:r>
        <w:t xml:space="preserve"> </w:t>
      </w:r>
      <w:proofErr w:type="gramStart"/>
      <w:r>
        <w:t xml:space="preserve">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учреждений" </w:t>
      </w:r>
      <w:proofErr w:type="spellStart"/>
      <w:r>
        <w:t>Минобрнауки</w:t>
      </w:r>
      <w:proofErr w:type="spellEnd"/>
      <w:r>
        <w:t xml:space="preserve">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рекомендации).</w:t>
      </w:r>
      <w:proofErr w:type="gramEnd"/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Методические рекомендации разработаны с учетом предложений, представленных </w:t>
      </w:r>
      <w:proofErr w:type="spellStart"/>
      <w:r>
        <w:t>пилотными</w:t>
      </w:r>
      <w:proofErr w:type="spellEnd"/>
      <w:r>
        <w:t xml:space="preserve"> регионами (письмо Минтруда России от 13 июня 2013 г. N 14-1/10/2-3236)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организаций, осуществляющих реализацию программ дошкольного, общего, начального профессионального и среднего профессионального образования (далее - Примерные направления).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>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организации, осуществляющие государственно-общественное управление в сфере образования, трудовые коллективы, профсоюзные организации.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>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(учредителя) и образовательной организации соответственно.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организаций, осуществляющих государственно-общественное управление в сфере образования, трудовых коллективов и профсоюзных организаций.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1"/>
      <w:bookmarkEnd w:id="2"/>
      <w:r>
        <w:t>1. Показатели эффективности для руководителя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  <w:r>
        <w:t>образовательной организации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Примерных направлений и с учетом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муниципалитетом разрабатываются соответствующие показатели эффективности деятельности руководителя образовательной организации и их индикаторы, на основании которых будет осуществляться учет результатов деятельности.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данного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руководителю образовательного учреждения устанавливаются выплаты стимулирующего характера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с учетом целевых показателей эффективности руководителя, установленного работодателем.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outlineLvl w:val="2"/>
      </w:pPr>
      <w:r>
        <w:t>Примерные направления для разработки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  <w:r>
        <w:t>показателей эффективности деятельности руководителей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  <w:r>
        <w:t>образовательных учреждений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sectPr w:rsidR="00E22BBC" w:rsidSect="00340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"/>
        <w:gridCol w:w="4394"/>
        <w:gridCol w:w="1276"/>
        <w:gridCol w:w="1275"/>
        <w:gridCol w:w="2268"/>
      </w:tblGrid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Начальное и среднее профессиональное образование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" w:name="Par57"/>
            <w:bookmarkEnd w:id="3"/>
            <w:r>
              <w:t>1. Для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Функционирование системы государственно-общественного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</w:t>
            </w:r>
            <w:proofErr w:type="spellStart"/>
            <w:r>
              <w:t>социокультурных</w:t>
            </w:r>
            <w:proofErr w:type="spellEnd"/>
            <w:r>
              <w:t xml:space="preserve"> проектов (школьный музей, театр, социальные проекты, научное общество учащихся,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мероприятий по привлечению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программ, направленных на работу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программ по сохранению и укреплению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реализации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учебных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профильного обучения,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 xml:space="preserve">Сохранность контингента в пределах одной ступени обучения (коэффициент </w:t>
            </w:r>
            <w:r>
              <w:lastRenderedPageBreak/>
              <w:t>выбытия из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государственного экзамена (в расчете на 1 предмет) у 10 процентов выпускников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Результаты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47"/>
      <w:bookmarkEnd w:id="4"/>
      <w:r>
        <w:t>2. Показатели эффективности для педагогических работников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  <w:r>
        <w:t>образовательной организации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индикаторы, на основании которых будет осуществляться учет результатов деятельности.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  <w:r>
        <w:t>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организации,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программы.</w:t>
      </w:r>
    </w:p>
    <w:p w:rsidR="00E22BBC" w:rsidRDefault="00E22BBC" w:rsidP="00E22BBC">
      <w:pPr>
        <w:widowControl w:val="0"/>
        <w:autoSpaceDE w:val="0"/>
        <w:autoSpaceDN w:val="0"/>
        <w:adjustRightInd w:val="0"/>
        <w:ind w:firstLine="540"/>
        <w:jc w:val="both"/>
      </w:pP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153"/>
      <w:bookmarkEnd w:id="5"/>
      <w:r>
        <w:t>Примерные направления для разработки показателей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  <w:r>
        <w:t>эффективности деятельности педагогических работников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  <w:r>
        <w:t>образовательных учреждений</w:t>
      </w:r>
    </w:p>
    <w:p w:rsidR="00E22BBC" w:rsidRDefault="00E22BBC" w:rsidP="00E22BB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"/>
        <w:gridCol w:w="4348"/>
        <w:gridCol w:w="1315"/>
        <w:gridCol w:w="1274"/>
        <w:gridCol w:w="2276"/>
      </w:tblGrid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Дошкольное 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образование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Начальное и среднее профессиональное образование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" w:name="Par163"/>
            <w:bookmarkEnd w:id="6"/>
            <w:r>
              <w:t>2. Для педагогических работников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Участие в коллективных педагогических проектах ("команда вокруг класса", интегрированные курсы, "виртуальный класс", др.)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Организация физкультурно-оздоровительной и спортивной работы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Работа с детьми из социально неблагополучных семей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22BBC" w:rsidTr="005F1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</w:pPr>
            <w: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Default="00E22BBC" w:rsidP="005F1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8D02B4" w:rsidRDefault="00E22BBC"/>
    <w:sectPr w:rsidR="008D02B4" w:rsidSect="00B8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BC"/>
    <w:rsid w:val="00160E81"/>
    <w:rsid w:val="007E11CC"/>
    <w:rsid w:val="00B86CD1"/>
    <w:rsid w:val="00E2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801C7BF56D0BCC4ABCB78A768035231930EB793C46D7810D1599BAC25BEC6D39E38H5v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5801C7BF56D0BCC4ABCB78A768035231970EBF96CE6D7810D1599BAC25BEC6D39E3853D63D778DH2v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801C7BF56D0BCC4ABCB78A768035231970EBF96CE6D7810D1599BACH2v5K" TargetMode="External"/><Relationship Id="rId5" Type="http://schemas.openxmlformats.org/officeDocument/2006/relationships/hyperlink" Target="consultantplus://offline/ref=C85801C7BF56D0BCC4ABCB78A7680352319003BC90C46D7810D1599BAC25BEC6D39E3853D63D7586H2v7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5801C7BF56D0BCC4ABCB78A7680352319003BC90C46D7810D1599BAC25BEC6D39E3853D63D7586H2v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V.Muselina</dc:creator>
  <cp:lastModifiedBy>V.Muselina</cp:lastModifiedBy>
  <cp:revision>1</cp:revision>
  <dcterms:created xsi:type="dcterms:W3CDTF">2014-03-26T11:04:00Z</dcterms:created>
  <dcterms:modified xsi:type="dcterms:W3CDTF">2014-03-26T11:05:00Z</dcterms:modified>
</cp:coreProperties>
</file>